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Общество с ограниченной ответственностью «Ромашка»</w:t>
      </w:r>
    </w:p>
    <w:p>
      <w:pPr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ВЕДОМОСТЬ</w:t>
      </w:r>
    </w:p>
    <w:p>
      <w:pPr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выдачи молока (равноценных пищевых продуктов) работникам, занятым на работах с вредными условиями труда</w:t>
      </w:r>
    </w:p>
    <w:p>
      <w:pPr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за октябрь 2026 (01.10.2026–31.10.2026)</w:t>
      </w:r>
    </w:p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"/>
        <w:gridCol w:w="2347"/>
        <w:gridCol w:w="2437"/>
        <w:gridCol w:w="993"/>
        <w:gridCol w:w="722"/>
        <w:gridCol w:w="993"/>
        <w:gridCol w:w="1083"/>
      </w:tblGrid>
      <w:tr>
        <w:tc>
          <w:tcPr>
            <w:tcW w:type="dxa" w:w="451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№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ФИО</w:t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Рабочее место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Норма за смену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Смен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Выдано</w:t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Подпись</w:t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3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4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5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6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7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8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9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10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11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12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13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14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15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16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17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18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19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20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21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22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23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24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25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Травильщик,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26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Травильщик,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27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Травильщик,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28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Травильщик,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29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Травильщик,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30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Травильщик,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31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Травильщик,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32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Травильщик, Гальванический участок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0,5 л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</w:tbl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jc w:val="left"/>
      </w:pPr>
      <w:r>
        <w:rPr>
          <w:sz w:val="18"/>
          <w:szCs w:val="18"/>
          <w:rFonts w:ascii="Times New Roman" w:cs="Times New Roman" w:eastAsia="Times New Roman" w:hAnsi="Times New Roman"/>
        </w:rPr>
        <w:t xml:space="preserve">Выдаётся в дни фактической занятости на работах с вредными условиями труда; при занятости меньше половины смены не выдаётся; не за смены вперёд и не за прошедшие (пп. 2, 4, 7 прил. 2 к приказу Минтруда России № 291н). Замена кисломолочными продуктами (500 г) или продуктами лечебно-профилактического питания (не менее 300 мл) — по письменному заявлению работника (п. 8, табл. 1 прил. 2).</w:t>
      </w:r>
    </w:p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Ответственный за выдачу: ____________________ / ____________________ /</w:t>
      </w:r>
    </w:p>
    <w:p>
      <w:r>
        <w:br w:type="page"/>
      </w:r>
    </w:p>
    <w:p>
      <w:pPr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Общество с ограниченной ответственностью «Ромашка»</w:t>
      </w:r>
    </w:p>
    <w:p>
      <w:pPr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ВЕДОМОСТЬ</w:t>
      </w:r>
    </w:p>
    <w:p>
      <w:pPr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выдачи лечебно-профилактического питания</w:t>
      </w:r>
    </w:p>
    <w:p>
      <w:pPr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за октябрь 2026 (01.10.2026–31.10.2026)</w:t>
      </w:r>
    </w:p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"/>
        <w:gridCol w:w="2347"/>
        <w:gridCol w:w="2437"/>
        <w:gridCol w:w="993"/>
        <w:gridCol w:w="722"/>
        <w:gridCol w:w="993"/>
        <w:gridCol w:w="1083"/>
      </w:tblGrid>
      <w:tr>
        <w:tc>
          <w:tcPr>
            <w:tcW w:type="dxa" w:w="451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№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ФИО</w:t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Рабочее место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Норма за смену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Смен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Выдано</w:t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Подпись</w:t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Аппаратчик абсорбции, Цех азотной кислоты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рацион № 2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Аппаратчик абсорбции, Цех азотной кислоты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рацион № 2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3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Аппаратчик абсорбции, Цех азотной кислоты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рацион № 2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4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Аппаратчик абсорбции, Цех азотной кислоты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рацион № 2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5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Аппаратчик абсорбции, Цех азотной кислоты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рацион № 2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c>
          <w:tcPr>
            <w:tcW w:type="dxa" w:w="451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6</w:t>
            </w:r>
          </w:p>
        </w:tc>
        <w:tc>
          <w:tcPr>
            <w:tcW w:type="dxa" w:w="234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37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Аппаратчик абсорбции, Цех азотной кислоты</w:t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рацион № 2</w:t>
            </w:r>
          </w:p>
        </w:tc>
        <w:tc>
          <w:tcPr>
            <w:tcW w:type="dxa" w:w="72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9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</w:tbl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jc w:val="left"/>
      </w:pPr>
      <w:r>
        <w:rPr>
          <w:sz w:val="18"/>
          <w:szCs w:val="18"/>
          <w:rFonts w:ascii="Times New Roman" w:cs="Times New Roman" w:eastAsia="Times New Roman" w:hAnsi="Times New Roman"/>
        </w:rPr>
        <w:t xml:space="preserve">Выдаётся перед началом работы в виде горячих завтраков, в дни фактического выполнения работы при занятости не менее половины смены; не полученное своевременно не выдаётся и деньгами не возмещается, кроме случаев по вине работодателя (пп. 4, 7, 13 прил. 3 к приказу Минтруда России № 298н).</w:t>
      </w:r>
    </w:p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Ответственный за выдачу: ____________________ / ____________________ 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2026-09-24T12:04:13.399Z</dcterms:created>
  <dcterms:modified xsi:type="dcterms:W3CDTF">2026-09-24T12:04:13.399Z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