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right"/>
      </w:pPr>
      <w:r>
        <w:rPr>
          <w:b/>
          <w:bCs/>
          <w:sz w:val="22"/>
          <w:szCs w:val="22"/>
          <w:rFonts w:ascii="Times New Roman" w:cs="Times New Roman" w:eastAsia="Times New Roman" w:hAnsi="Times New Roman"/>
        </w:rPr>
        <w:t xml:space="preserve">УТВЕРЖДАЮ</w:t>
      </w:r>
    </w:p>
    <w:p>
      <w:pPr>
        <w:spacing w:after="20"/>
        <w:jc w:val="righ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Генеральный директор</w:t>
      </w:r>
    </w:p>
    <w:p>
      <w:pPr>
        <w:spacing w:after="20"/>
        <w:jc w:val="righ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spacing w:after="20"/>
        <w:jc w:val="righ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____________ /Смирнов А. В./</w:t>
      </w:r>
    </w:p>
    <w:p>
      <w:pPr>
        <w:spacing w:after="240"/>
        <w:jc w:val="righ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«06» июля 2026 г.</w:t>
      </w:r>
    </w:p>
    <w:p>
      <w:pPr>
        <w:spacing w:after="40"/>
        <w:jc w:val="center"/>
      </w:pPr>
      <w:r>
        <w:rPr>
          <w:b/>
          <w:bCs/>
          <w:sz w:val="30"/>
          <w:szCs w:val="30"/>
          <w:rFonts w:ascii="Times New Roman" w:cs="Times New Roman" w:eastAsia="Times New Roman" w:hAnsi="Times New Roman"/>
        </w:rPr>
        <w:t xml:space="preserve">ПРОГРАММА</w:t>
      </w:r>
    </w:p>
    <w:p>
      <w:pPr>
        <w:spacing w:after="2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производственного контроля за соблюдением санитарных правил</w:t>
      </w:r>
    </w:p>
    <w:p>
      <w:pPr>
        <w:spacing w:after="6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и выполнением санитарно-противоэпидемических (профилактических) мероприятий</w:t>
      </w:r>
    </w:p>
    <w:p>
      <w:pPr>
        <w:spacing w:after="20"/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spacing w:after="240"/>
        <w:jc w:val="center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№ 1-ПК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Общие положения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ст. 32 Федерального закона от 30.03.1999 № 52-ФЗ; п. 10 СП 2.2.4285-26</w:t>
      </w:r>
    </w:p>
    <w:tbl>
      <w:tblPr>
        <w:tblW w:type="dxa" w:w="9000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999999" w:sz="1"/>
          <w:insideV w:val="single" w:color="999999" w:sz="1"/>
        </w:tblBorders>
      </w:tblPr>
      <w:tblGrid>
        <w:gridCol w:w="3200"/>
        <w:gridCol w:w="5800"/>
      </w:tblGrid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Организация (индивидуальный предприниматель)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Общество с ограниченной ответственностью «Ромашка» (ИНН 7701234567)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Вид осуществляемой деятельности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Механическая обработка металлов, сварочные и окрасочные работы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Место осуществления деятельности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г. Москва, ул. Производственная, д. 12, стр. 3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Объекты производственного контроля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Рабочие места (п. 11 СП 2.2.4285-26); производственные и общественные помещения, здания, сооружения, оборудование, технологические процессы, сырьё, полуфабрикаты, готовая продукция, отходы производства и потребления (п. 2.3 СП 1.1.1058-01)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Основание разработки программы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ст. 11 и ст. 32 Федерального закона от 30.03.1999 № 52-ФЗ «О санитарно-эпидемиологическом благополучии населения»; раздел 3 СП 1.1.1058-01; п. 10 СП 2.2.4285-26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Срок действия программы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Без ограничения срока действия. Изменения вносятся при изменении вида деятельности, технологии производства и других существенных изменениях (п. 2.6 СП 1.1.1058-01)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Кто утверждает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Генеральный директор (п. 2.6 СП 1.1.1058-01)</w:t>
            </w:r>
          </w:p>
        </w:tc>
      </w:tr>
      <w:tr>
        <w:tc>
          <w:tcPr>
            <w:tcW w:type="dxa" w:w="32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20"/>
                <w:szCs w:val="20"/>
                <w:rFonts w:ascii="Times New Roman" w:cs="Times New Roman" w:eastAsia="Times New Roman" w:hAnsi="Times New Roman"/>
              </w:rPr>
              <w:t xml:space="preserve">Ответственность за организацию, полноту и достоверность контроля</w:t>
            </w:r>
          </w:p>
        </w:tc>
        <w:tc>
          <w:tcPr>
            <w:tcW w:type="dxa" w:w="58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Несёт юридическое лицо (индивидуальный предприниматель) — п. 2.7 СП 1.1.1058-01</w:t>
            </w:r>
          </w:p>
        </w:tc>
      </w:tr>
    </w:tbl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Перечень официально изданных санитарных правил, методов и методик контроля факторов среды обитания в соответствии с осуществляемой деятельностью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3.1 СП 1.1.1058-01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СП 2.2.4285-26 «Санитарно-эпидемиологические требования к условиям труда»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СП 1.1.1058-01 «Организация и проведение производственного контроля…» (в части, не противоречащей действующим санитарным правилам)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Перечень должностных лиц (работников), на которых возложены функции по осуществлению производственного контроля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3.2 СП 1.1.1058-01; п. 13 СП 2.2.4285-26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Ответственный за осуществление производственного контроля: Специалист по охране труда Кузнецова О. Д., назначен приказом от 12.01.2026 № 4-ОТ.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Начальник механического участка — визуальный контроль соблюдения санитарных правил на участке.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Перечень факторов и объектов производственного контроля, точки отбора проб и периодичность лабораторных исследований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3.3 СП 1.1.1058-01; п. 13 СП 2.2.4285-26</w:t>
      </w:r>
    </w:p>
    <w:tbl>
      <w:tblPr>
        <w:tblW w:type="dxa" w:w="9026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999999" w:sz="1"/>
          <w:insideV w:val="single" w:color="999999" w:sz="1"/>
        </w:tblBorders>
      </w:tblPr>
      <w:tblGrid>
        <w:gridCol w:w="400"/>
        <w:gridCol w:w="2600"/>
        <w:gridCol w:w="2400"/>
        <w:gridCol w:w="1400"/>
        <w:gridCol w:w="2226"/>
      </w:tblGrid>
      <w:tr>
        <w:tc>
          <w:tcPr>
            <w:tcW w:type="dxa" w:w="4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№</w:t>
            </w:r>
          </w:p>
        </w:tc>
        <w:tc>
          <w:tcPr>
            <w:tcW w:type="dxa" w:w="26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Контролируемый фактор (объект контроля)</w:t>
            </w:r>
          </w:p>
        </w:tc>
        <w:tc>
          <w:tcPr>
            <w:tcW w:type="dxa" w:w="24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Точка отбора проб / рабочее место</w:t>
            </w:r>
          </w:p>
        </w:tc>
        <w:tc>
          <w:tcPr>
            <w:tcW w:type="dxa" w:w="1400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Периодичность</w:t>
            </w:r>
          </w:p>
        </w:tc>
        <w:tc>
          <w:tcPr>
            <w:tcW w:type="dxa" w:w="2226"/>
            <w:shd w:fill="DCE6F1" w:color="auto" w:val="clear"/>
          </w:tcPr>
          <w:p>
            <w:pPr>
              <w:spacing w:after="100"/>
              <w:jc w:val="left"/>
            </w:pPr>
            <w:r>
              <w:rPr>
                <w:b/>
                <w:bCs/>
                <w:sz w:val="18"/>
                <w:szCs w:val="18"/>
                <w:rFonts w:ascii="Times New Roman" w:cs="Times New Roman" w:eastAsia="Times New Roman" w:hAnsi="Times New Roman"/>
              </w:rPr>
              <w:t xml:space="preserve">Методика (метод) измерений</w:t>
            </w:r>
          </w:p>
        </w:tc>
      </w:tr>
      <w:tr>
        <w:tc>
          <w:tcPr>
            <w:tcW w:type="dxa" w:w="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</w:t>
            </w:r>
          </w:p>
        </w:tc>
        <w:tc>
          <w:tcPr>
            <w:tcW w:type="dxa" w:w="26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Микроклимат (температура, влажность, скорость движения воздуха)</w:t>
            </w:r>
          </w:p>
        </w:tc>
        <w:tc>
          <w:tcPr>
            <w:tcW w:type="dxa" w:w="2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Механический участок, рабочие места токарей</w:t>
            </w:r>
          </w:p>
        </w:tc>
        <w:tc>
          <w:tcPr>
            <w:tcW w:type="dxa" w:w="1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не реже 1 раза в год</w:t>
            </w:r>
          </w:p>
        </w:tc>
        <w:tc>
          <w:tcPr>
            <w:tcW w:type="dxa" w:w="2226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по методикам, включённым в область аккредитации лаборатории</w:t>
            </w:r>
          </w:p>
        </w:tc>
      </w:tr>
      <w:tr>
        <w:tc>
          <w:tcPr>
            <w:tcW w:type="dxa" w:w="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</w:t>
            </w:r>
          </w:p>
        </w:tc>
        <w:tc>
          <w:tcPr>
            <w:tcW w:type="dxa" w:w="26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Шум</w:t>
            </w:r>
          </w:p>
        </w:tc>
        <w:tc>
          <w:tcPr>
            <w:tcW w:type="dxa" w:w="2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Механический участок, рабочее место оператора станка</w:t>
            </w:r>
          </w:p>
        </w:tc>
        <w:tc>
          <w:tcPr>
            <w:tcW w:type="dxa" w:w="1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 раз в год</w:t>
            </w:r>
          </w:p>
        </w:tc>
        <w:tc>
          <w:tcPr>
            <w:tcW w:type="dxa" w:w="2226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по методикам, включённым в область аккредитации лаборатории</w:t>
            </w:r>
          </w:p>
        </w:tc>
      </w:tr>
      <w:tr>
        <w:tc>
          <w:tcPr>
            <w:tcW w:type="dxa" w:w="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3</w:t>
            </w:r>
          </w:p>
        </w:tc>
        <w:tc>
          <w:tcPr>
            <w:tcW w:type="dxa" w:w="26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Освещённость рабочих поверхностей</w:t>
            </w:r>
          </w:p>
        </w:tc>
        <w:tc>
          <w:tcPr>
            <w:tcW w:type="dxa" w:w="2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Механический и сварочный участки</w:t>
            </w:r>
          </w:p>
        </w:tc>
        <w:tc>
          <w:tcPr>
            <w:tcW w:type="dxa" w:w="1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1 раз в год</w:t>
            </w:r>
          </w:p>
        </w:tc>
        <w:tc>
          <w:tcPr>
            <w:tcW w:type="dxa" w:w="2226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по методикам, включённым в область аккредитации лаборатории</w:t>
            </w:r>
          </w:p>
        </w:tc>
      </w:tr>
      <w:tr>
        <w:tc>
          <w:tcPr>
            <w:tcW w:type="dxa" w:w="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4</w:t>
            </w:r>
          </w:p>
        </w:tc>
        <w:tc>
          <w:tcPr>
            <w:tcW w:type="dxa" w:w="26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Химический фактор (сварочный аэрозоль, пары растворителей)</w:t>
            </w:r>
          </w:p>
        </w:tc>
        <w:tc>
          <w:tcPr>
            <w:tcW w:type="dxa" w:w="2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Сварочный пост № 2, окрасочная камера</w:t>
            </w:r>
          </w:p>
        </w:tc>
        <w:tc>
          <w:tcPr>
            <w:tcW w:type="dxa" w:w="1400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2 раза в год</w:t>
            </w:r>
          </w:p>
        </w:tc>
        <w:tc>
          <w:tcPr>
            <w:tcW w:type="dxa" w:w="2226"/>
          </w:tcPr>
          <w:p>
            <w:pPr>
              <w:spacing w:after="100"/>
              <w:jc w:val="left"/>
            </w:pPr>
            <w:r>
              <w:rPr>
                <w:b w:val="false"/>
                <w:bCs w:val="false"/>
                <w:sz w:val="18"/>
                <w:szCs w:val="18"/>
                <w:rFonts w:ascii="Times New Roman" w:cs="Times New Roman" w:eastAsia="Times New Roman" w:hAnsi="Times New Roman"/>
              </w:rPr>
              <w:t xml:space="preserve">по методикам, включённым в область аккредитации лаборатории</w:t>
            </w:r>
          </w:p>
        </w:tc>
      </w:tr>
    </w:tbl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after="10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Лабораторные исследования и испытания проводит лаборатория (центр), аккредитованная в национальной системе аккредитации: ИЛ ООО «Профстандарт», аттестат аккредитации № RA.RU.21АВ00 (п. 12 СП 2.2.4285-26, п. 2.5 СП 1.1.1058-01).</w:t>
      </w:r>
    </w:p>
    <w:p>
      <w:pPr>
        <w:spacing w:after="100"/>
        <w:jc w:val="left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Номенклатура, объём и периодичность контроля определяются с учётом характеристик производственных процессов и оборудования, наличия вредных производственных факторов и степени их влияния на здоровье работника (п. 10 СП 2.2.4285-26, п. 2.5 СП 1.1.1058-01). Контроль параметров микроклимата проводится не реже 1 раза в год (п. 15 СП 2.2.4285-26); производственный контроль за биологическим фактором — не реже 1 раза в год (п. 16 СП 2.2.4285-26).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Перечень должностей работников, подлежащих медицинским осмотрам, профессиональной гигиенической подготовке и аттестации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3.4 СП 1.1.1058-01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Токарь, фрезеровщик, электрогазосварщик, маляр — обязательные предварительные и периодические медицинские осмотры по вредным факторам, выявленным при специальной оценке условий труда.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Профессиональной гигиенической подготовке и аттестации работники не подлежат: деятельности, отнесённой к декретированным группам, организация не ведёт.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6. Перечень работ, услуг, выпускаемой продукции и видов деятельности, представляющих потенциальную опасность для человека и подлежащих санитарно-эпидемиологической оценке, сертификации, лицензированию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3.5 СП 1.1.1058-01</w:t>
      </w:r>
    </w:p>
    <w:p>
      <w:pPr>
        <w:spacing w:after="100"/>
        <w:jc w:val="left"/>
      </w:pPr>
      <w:r>
        <w:rPr>
          <w:i/>
          <w:iCs/>
          <w:sz w:val="22"/>
          <w:szCs w:val="22"/>
          <w:rFonts w:ascii="Times New Roman" w:cs="Times New Roman" w:eastAsia="Times New Roman" w:hAnsi="Times New Roman"/>
        </w:rPr>
        <w:t xml:space="preserve">[Перечислите работы, услуги, продукцию и виды деятельности, подлежащие санитарно-эпидемиологической оценке, сертификации или лицензированию. Если таких нет — так и укажите]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7. Мероприятия по обоснованию безопасности для человека и окружающей среды продукции и технологии её производства, критериев безопасности факторов среды и разработке методов контроля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3.6 СП 1.1.1058-01</w:t>
      </w:r>
    </w:p>
    <w:p>
      <w:pPr>
        <w:spacing w:after="100"/>
        <w:jc w:val="left"/>
      </w:pPr>
      <w:r>
        <w:rPr>
          <w:i/>
          <w:iCs/>
          <w:sz w:val="22"/>
          <w:szCs w:val="22"/>
          <w:rFonts w:ascii="Times New Roman" w:cs="Times New Roman" w:eastAsia="Times New Roman" w:hAnsi="Times New Roman"/>
        </w:rPr>
        <w:t xml:space="preserve">[Укажите мероприятия по обоснованию безопасности продукции и технологии её производства, в том числе при хранении, транспортировании, реализации и утилизации, а также безопасности процесса выполнения работ и оказания услуг. Если новая продукция и новые технологии не вводятся — укажите это]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8. Перечень форм учёта и отчётности по вопросам, связанным с осуществлением производственного контроля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3.7 СП 1.1.1058-01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Протоколы лабораторных исследований и измерений факторов производственной среды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Журнал учёта результатов производственного контроля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Заключительные акты периодических медицинских осмотров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Отчёты о выполнении мероприятий по улучшению условий труда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9. Перечень возможных аварийных ситуаций, создающих угрозу санитарно-эпидемиологическому благополучию населения, и порядок информирования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3.8 СП 1.1.1058-01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Отключение приточно-вытяжной вентиляции сварочного участка — работы приостанавливаются, территориальный орган Роспотребнадзора информируется в порядке, установленном настоящей программой.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Авария на системе хозяйственно-питьевого водоснабжения — прекращение использования воды, информирование территориального органа Роспотребнадзора.</w:t>
      </w:r>
    </w:p>
    <w:p>
      <w:pPr>
        <w:pStyle w:val="Heading2"/>
        <w:spacing w:before="260" w:after="6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10. Другие мероприятия, необходимые для эффективного контроля за соблюдением санитарных правил и гигиенических нормативов</w:t>
      </w:r>
    </w:p>
    <w:p>
      <w:pPr>
        <w:spacing w:after="12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Основание: п. 3.9 СП 1.1.1058-01</w:t>
      </w:r>
    </w:p>
    <w:p>
      <w:pPr>
        <w:spacing w:after="100"/>
        <w:jc w:val="left"/>
      </w:pPr>
      <w:r>
        <w:rPr>
          <w:i/>
          <w:iCs/>
          <w:sz w:val="22"/>
          <w:szCs w:val="22"/>
          <w:rFonts w:ascii="Times New Roman" w:cs="Times New Roman" w:eastAsia="Times New Roman" w:hAnsi="Times New Roman"/>
        </w:rPr>
        <w:t xml:space="preserve">[Укажите дополнительные мероприятия: визуальный контроль, дезинфекция, дезинсекция, дератизация, вывоз отходов, контроль условий труда после реконструкции и модернизации производства. Перечень определяется степенью потенциальной опасности вашей деятельности]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after="10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Примечание. По результатам производственного контроля и специальной оценки условий труда работодатель разрабатывает и выполняет в установленные им сроки перечень мероприятий по улучшению условий труда — это отдельный документ, а не раздел настоящей программы (п. 7 СП 2.2.4285-26).</w:t>
      </w:r>
    </w:p>
    <w:p>
      <w:pPr>
        <w:spacing w:after="100"/>
        <w:jc w:val="left"/>
      </w:pPr>
      <w:r>
        <w:rPr>
          <w:i/>
          <w:iCs/>
          <w:sz w:val="18"/>
          <w:szCs w:val="18"/>
          <w:rFonts w:ascii="Times New Roman" w:cs="Times New Roman" w:eastAsia="Times New Roman" w:hAnsi="Times New Roman"/>
        </w:rPr>
        <w:t xml:space="preserve">Состав разделов программы соответствует разделу 3 (пункты 3.1–3.9)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с учётом раздела II (пункты 9–16) СП 2.2.4285-26 «Санитарно-эпидемиологические требования к условиям труда», действующих с 1 сентября 2026 года. СП 1.1.1058-01 применяются в части, не противоречащей действующим санитарным правилам. Отраслевое наполнение разделов (перечень применимых санитарных правил, факторы, точки отбора проб, периодичность) вносит организация: универсального шаблона у этой программы нет.</w:t>
      </w:r>
    </w:p>
    <w:p>
      <w:pPr>
        <w:spacing w:after="10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</w:r>
    </w:p>
    <w:p>
      <w:pPr>
        <w:spacing w:after="100"/>
        <w:jc w:val="left"/>
      </w:pPr>
      <w:r>
        <w:rPr>
          <w:sz w:val="20"/>
          <w:szCs w:val="20"/>
          <w:rFonts w:ascii="Times New Roman" w:cs="Times New Roman" w:eastAsia="Times New Roman" w:hAnsi="Times New Roman"/>
        </w:rPr>
        <w:t xml:space="preserve">Программу составил: Специалист по охране труда Кузнецова О. Д.  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2026-09-06T18:13:34.613Z</dcterms:created>
  <dcterms:modified xsi:type="dcterms:W3CDTF">2026-09-06T18:13:34.613Z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